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84811" w14:textId="43B7FCEC" w:rsidR="00322F12" w:rsidRPr="00E71313" w:rsidRDefault="00CF5CFF" w:rsidP="003C2599">
      <w:pPr>
        <w:spacing w:line="480" w:lineRule="exact"/>
        <w:ind w:left="709" w:hanging="1"/>
        <w:jc w:val="center"/>
        <w:rPr>
          <w:rFonts w:ascii="Times New Roman" w:eastAsia="標楷體" w:hAnsi="Times New Roman" w:cs="Times New Roman"/>
          <w:color w:val="008000"/>
          <w:w w:val="95"/>
          <w:sz w:val="36"/>
          <w:szCs w:val="36"/>
        </w:rPr>
      </w:pPr>
      <w:r w:rsidRPr="00E71313">
        <w:rPr>
          <w:rFonts w:ascii="Times New Roman" w:eastAsia="標楷體" w:hAnsi="Times New Roman" w:cs="Times New Roman"/>
          <w:color w:val="008000"/>
          <w:w w:val="95"/>
          <w:sz w:val="36"/>
          <w:szCs w:val="36"/>
          <w:lang w:eastAsia="zh-HK"/>
        </w:rPr>
        <w:t>本校簽署</w:t>
      </w:r>
      <w:r w:rsidR="00635235" w:rsidRPr="00E71313">
        <w:rPr>
          <w:rFonts w:ascii="Times New Roman" w:eastAsia="標楷體" w:hAnsi="Times New Roman" w:cs="Times New Roman"/>
          <w:color w:val="008000"/>
          <w:w w:val="95"/>
          <w:sz w:val="36"/>
          <w:szCs w:val="36"/>
          <w:lang w:eastAsia="zh-HK"/>
        </w:rPr>
        <w:t>跨校選課</w:t>
      </w:r>
      <w:r w:rsidRPr="00E71313">
        <w:rPr>
          <w:rFonts w:ascii="Times New Roman" w:eastAsia="標楷體" w:hAnsi="Times New Roman" w:cs="Times New Roman"/>
          <w:color w:val="008000"/>
          <w:w w:val="95"/>
          <w:sz w:val="36"/>
          <w:szCs w:val="36"/>
          <w:lang w:eastAsia="zh-HK"/>
        </w:rPr>
        <w:t>協議說明</w:t>
      </w:r>
    </w:p>
    <w:p w14:paraId="3FF666B0" w14:textId="4481A058" w:rsidR="00322F12" w:rsidRPr="00E71313" w:rsidRDefault="00322F12" w:rsidP="00322F12">
      <w:pPr>
        <w:spacing w:line="480" w:lineRule="exact"/>
        <w:jc w:val="both"/>
        <w:rPr>
          <w:rFonts w:ascii="Times New Roman" w:eastAsia="標楷體" w:hAnsi="Times New Roman" w:cs="Times New Roman"/>
          <w:color w:val="002060"/>
          <w:sz w:val="28"/>
          <w:szCs w:val="24"/>
        </w:rPr>
      </w:pPr>
      <w:r w:rsidRPr="00E71313">
        <w:rPr>
          <w:rFonts w:ascii="Times New Roman" w:eastAsia="標楷體" w:hAnsi="Times New Roman" w:cs="Times New Roman"/>
          <w:color w:val="002060"/>
          <w:sz w:val="28"/>
          <w:szCs w:val="24"/>
          <w:lang w:eastAsia="zh-HK"/>
        </w:rPr>
        <w:t>本校與教育夥伴學校、聯盟學校及臺灣國立大學系統</w:t>
      </w:r>
      <w:r w:rsidRPr="00E71313">
        <w:rPr>
          <w:rFonts w:ascii="Times New Roman" w:eastAsia="標楷體" w:hAnsi="Times New Roman" w:cs="Times New Roman"/>
          <w:color w:val="002060"/>
          <w:sz w:val="28"/>
          <w:szCs w:val="24"/>
        </w:rPr>
        <w:t>(NUST)</w:t>
      </w:r>
      <w:r w:rsidRPr="00E71313">
        <w:rPr>
          <w:rFonts w:ascii="Times New Roman" w:eastAsia="標楷體" w:hAnsi="Times New Roman" w:cs="Times New Roman"/>
          <w:color w:val="002060"/>
          <w:sz w:val="28"/>
          <w:szCs w:val="24"/>
          <w:lang w:eastAsia="zh-HK"/>
        </w:rPr>
        <w:t>簽署跨校選課協議，相關措施說明如下：</w:t>
      </w:r>
    </w:p>
    <w:p w14:paraId="6ACE38CA" w14:textId="51A7B097" w:rsidR="00322F12" w:rsidRPr="00C20BE8" w:rsidRDefault="00322F12" w:rsidP="00C20BE8">
      <w:pPr>
        <w:pStyle w:val="a3"/>
        <w:numPr>
          <w:ilvl w:val="1"/>
          <w:numId w:val="9"/>
        </w:numPr>
        <w:spacing w:line="480" w:lineRule="exact"/>
        <w:ind w:leftChars="0" w:left="426" w:hanging="426"/>
        <w:jc w:val="both"/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</w:pP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教育夥伴跨校選課協議</w:t>
      </w:r>
    </w:p>
    <w:p w14:paraId="046588D5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  <w:lang w:eastAsia="zh-HK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proofErr w:type="gramStart"/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一</w:t>
      </w:r>
      <w:proofErr w:type="gramEnd"/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教育夥伴學校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5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所學校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含本校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：</w:t>
      </w:r>
    </w:p>
    <w:p w14:paraId="463F1923" w14:textId="77777777" w:rsidR="00322F12" w:rsidRPr="00E71313" w:rsidRDefault="00322F12" w:rsidP="00322F12">
      <w:pPr>
        <w:spacing w:line="480" w:lineRule="exact"/>
        <w:ind w:leftChars="100" w:left="240" w:firstLineChars="167" w:firstLine="46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國立中正大學、國立虎尾科技大學、國立雲林科技大學、南華大學。</w:t>
      </w:r>
    </w:p>
    <w:p w14:paraId="7DB431AC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  <w:lang w:eastAsia="zh-HK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二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跨校選課措施：</w:t>
      </w:r>
    </w:p>
    <w:p w14:paraId="04E28B26" w14:textId="77777777" w:rsidR="00322F12" w:rsidRPr="00E71313" w:rsidRDefault="00322F12" w:rsidP="00322F12">
      <w:pPr>
        <w:spacing w:line="480" w:lineRule="exact"/>
        <w:ind w:leftChars="236" w:left="568" w:hanging="2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大學日間部學生至夥伴學校修讀大學部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不含進修部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課程，每學期跨校選課總數</w:t>
      </w:r>
      <w:r w:rsidRPr="00E71313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限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ㄧ門課免繳開課學校學分費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，但免繳學分費不包括教育學程、寒暑修、重修及延修等修習課程。</w:t>
      </w:r>
    </w:p>
    <w:p w14:paraId="0200E76E" w14:textId="26B99691" w:rsidR="00322F12" w:rsidRPr="00C20BE8" w:rsidRDefault="00322F12" w:rsidP="00C20BE8">
      <w:pPr>
        <w:pStyle w:val="a3"/>
        <w:numPr>
          <w:ilvl w:val="1"/>
          <w:numId w:val="9"/>
        </w:numPr>
        <w:spacing w:line="480" w:lineRule="exact"/>
        <w:ind w:leftChars="0" w:left="426" w:hanging="426"/>
        <w:jc w:val="both"/>
        <w:rPr>
          <w:rFonts w:ascii="Times New Roman" w:eastAsia="標楷體" w:hAnsi="Times New Roman" w:cs="Times New Roman"/>
          <w:b/>
          <w:sz w:val="28"/>
          <w:szCs w:val="24"/>
        </w:rPr>
      </w:pP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彰雲嘉大專校院聯盟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協議</w:t>
      </w:r>
      <w:r w:rsidRPr="00C20BE8">
        <w:rPr>
          <w:rFonts w:ascii="Times New Roman" w:eastAsia="標楷體" w:hAnsi="Times New Roman" w:cs="Times New Roman"/>
          <w:b/>
          <w:sz w:val="28"/>
          <w:szCs w:val="24"/>
        </w:rPr>
        <w:t>(</w:t>
      </w:r>
      <w:r w:rsidRPr="00C20BE8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自</w:t>
      </w:r>
      <w:r w:rsidRPr="00C20BE8">
        <w:rPr>
          <w:rFonts w:ascii="Times New Roman" w:eastAsia="標楷體" w:hAnsi="Times New Roman" w:cs="Times New Roman"/>
          <w:b/>
          <w:sz w:val="28"/>
          <w:szCs w:val="24"/>
        </w:rPr>
        <w:t>111</w:t>
      </w:r>
      <w:r w:rsidRPr="00C20BE8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學年度起</w:t>
      </w:r>
      <w:r w:rsidRPr="00C20BE8">
        <w:rPr>
          <w:rFonts w:ascii="Times New Roman" w:eastAsia="標楷體" w:hAnsi="Times New Roman" w:cs="Times New Roman"/>
          <w:b/>
          <w:sz w:val="28"/>
          <w:szCs w:val="24"/>
        </w:rPr>
        <w:t>)</w:t>
      </w:r>
    </w:p>
    <w:p w14:paraId="77BB2A65" w14:textId="3D622FE2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proofErr w:type="gramStart"/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一</w:t>
      </w:r>
      <w:proofErr w:type="gramEnd"/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聯盟協議學校</w:t>
      </w:r>
      <w:r w:rsidR="00393AE8">
        <w:rPr>
          <w:rFonts w:ascii="Times New Roman" w:eastAsia="標楷體" w:hAnsi="Times New Roman" w:cs="Times New Roman" w:hint="eastAsia"/>
          <w:sz w:val="28"/>
          <w:szCs w:val="24"/>
        </w:rPr>
        <w:t>7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所學校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含本校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：</w:t>
      </w:r>
      <w:r w:rsidRPr="00E71313">
        <w:rPr>
          <w:rFonts w:ascii="Times New Roman" w:eastAsia="標楷體" w:hAnsi="Times New Roman" w:cs="Times New Roman"/>
          <w:sz w:val="28"/>
          <w:szCs w:val="24"/>
        </w:rPr>
        <w:t xml:space="preserve"> </w:t>
      </w:r>
    </w:p>
    <w:p w14:paraId="625650D0" w14:textId="4496B564" w:rsidR="00322F12" w:rsidRPr="00E71313" w:rsidRDefault="00322F12" w:rsidP="00322F12">
      <w:pPr>
        <w:spacing w:line="480" w:lineRule="exact"/>
        <w:ind w:leftChars="295" w:left="709" w:hanging="1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吳鳳科技大學、南華大學、國立中正大學、國立虎尾科技大學、國立雲林科技大學、國立彰化師範大學。</w:t>
      </w:r>
    </w:p>
    <w:p w14:paraId="24673087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二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跨校選課措施：</w:t>
      </w:r>
    </w:p>
    <w:p w14:paraId="25BD7347" w14:textId="2C37B4D8" w:rsidR="00322F12" w:rsidRDefault="00322F12" w:rsidP="00322F12">
      <w:pPr>
        <w:spacing w:line="480" w:lineRule="exact"/>
        <w:ind w:leftChars="236" w:left="568" w:hanging="2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學士班學生至聯盟學校修習大學部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不含進修部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或研究所課程，每學期跨校選課</w:t>
      </w:r>
      <w:r w:rsidRPr="00E71313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限</w:t>
      </w:r>
      <w:r w:rsidR="00393AE8">
        <w:rPr>
          <w:rFonts w:ascii="Times New Roman" w:eastAsia="標楷體" w:hAnsi="Times New Roman" w:cs="Times New Roman" w:hint="eastAsia"/>
          <w:b/>
          <w:sz w:val="28"/>
          <w:szCs w:val="24"/>
          <w:lang w:eastAsia="zh-HK"/>
        </w:rPr>
        <w:t>二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門課免繳開課學校學分費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，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但免繳學分費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不含教育課程、寒暑修、重修及延修等課程。</w:t>
      </w:r>
    </w:p>
    <w:p w14:paraId="4FDBC965" w14:textId="2C8A1493" w:rsidR="000C4D9C" w:rsidRPr="000C4D9C" w:rsidRDefault="000C4D9C" w:rsidP="00322F12">
      <w:pPr>
        <w:spacing w:line="480" w:lineRule="exact"/>
        <w:ind w:leftChars="236" w:left="568" w:hanging="2"/>
        <w:jc w:val="both"/>
        <w:rPr>
          <w:rFonts w:ascii="Times New Roman" w:eastAsia="標楷體" w:hAnsi="Times New Roman" w:cs="Times New Roman"/>
          <w:color w:val="FF0000"/>
          <w:sz w:val="18"/>
          <w:szCs w:val="16"/>
        </w:rPr>
      </w:pP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(</w:t>
      </w: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依據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彰雲嘉大學校院聯盟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11</w:t>
      </w:r>
      <w:r w:rsidR="00D8022A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5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年</w:t>
      </w:r>
      <w:r w:rsidR="00D8022A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4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月</w:t>
      </w:r>
      <w:r w:rsidR="00D8022A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17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日第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12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屆第</w:t>
      </w:r>
      <w:r w:rsidR="00D8022A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3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次理監事聯席會議會議紀錄</w:t>
      </w: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決議</w:t>
      </w: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)</w:t>
      </w:r>
    </w:p>
    <w:p w14:paraId="6FFC222A" w14:textId="18100C23" w:rsidR="00322F12" w:rsidRPr="00C20BE8" w:rsidRDefault="00322F12" w:rsidP="00DB0FFB">
      <w:pPr>
        <w:pStyle w:val="a3"/>
        <w:numPr>
          <w:ilvl w:val="1"/>
          <w:numId w:val="9"/>
        </w:numPr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</w:pP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臺灣國立大學系統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(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自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111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學年度起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)</w:t>
      </w:r>
      <w:r w:rsidR="00DB0FFB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 xml:space="preserve"> </w:t>
      </w:r>
      <w:hyperlink r:id="rId8" w:history="1">
        <w:r w:rsidR="00DB0FFB" w:rsidRPr="00DB0FFB">
          <w:rPr>
            <w:rStyle w:val="ac"/>
            <w:rFonts w:ascii="Times New Roman" w:eastAsia="標楷體" w:hAnsi="Times New Roman" w:cs="Times New Roman"/>
            <w:b/>
            <w:sz w:val="28"/>
            <w:szCs w:val="24"/>
          </w:rPr>
          <w:t>https://nust.edu.tw/resource.php</w:t>
        </w:r>
      </w:hyperlink>
    </w:p>
    <w:p w14:paraId="36B78804" w14:textId="148F9D6C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  <w:lang w:eastAsia="zh-HK"/>
        </w:rPr>
      </w:pPr>
      <w:r w:rsidRPr="00E71313">
        <w:rPr>
          <w:rFonts w:ascii="Times New Roman" w:eastAsia="標楷體" w:hAnsi="Times New Roman" w:cs="Times New Roman"/>
          <w:b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一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系統學校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1</w:t>
      </w:r>
      <w:r w:rsidR="00E7403F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所學校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含本校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：</w:t>
      </w:r>
    </w:p>
    <w:p w14:paraId="39E9C484" w14:textId="073A1B9E" w:rsidR="00322F12" w:rsidRPr="00E71313" w:rsidRDefault="00322F12" w:rsidP="00322F12">
      <w:pPr>
        <w:spacing w:line="480" w:lineRule="exact"/>
        <w:ind w:left="709" w:hanging="1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國立中興大學、國立</w:t>
      </w:r>
      <w:proofErr w:type="gramStart"/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臺</w:t>
      </w:r>
      <w:proofErr w:type="gramEnd"/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中教育大學、</w:t>
      </w:r>
      <w:r w:rsidR="00E7403F" w:rsidRPr="00E71313">
        <w:rPr>
          <w:rFonts w:ascii="Times New Roman" w:eastAsia="標楷體" w:hAnsi="Times New Roman" w:cs="Times New Roman"/>
          <w:sz w:val="28"/>
          <w:szCs w:val="24"/>
        </w:rPr>
        <w:t>國立臺灣體育運動大學</w:t>
      </w:r>
      <w:r w:rsidR="00E7403F">
        <w:rPr>
          <w:rFonts w:ascii="Times New Roman" w:eastAsia="標楷體" w:hAnsi="Times New Roman" w:cs="Times New Roman" w:hint="eastAsia"/>
          <w:sz w:val="28"/>
          <w:szCs w:val="24"/>
        </w:rPr>
        <w:t>、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國</w:t>
      </w:r>
      <w:r w:rsidRPr="00E71313">
        <w:rPr>
          <w:rFonts w:ascii="Times New Roman" w:eastAsia="標楷體" w:hAnsi="Times New Roman" w:cs="Times New Roman"/>
          <w:sz w:val="28"/>
          <w:szCs w:val="24"/>
        </w:rPr>
        <w:t>立勤益科技大學、國立聯合大學、</w:t>
      </w:r>
      <w:r w:rsidR="00E7403F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國立暨南國際大學</w:t>
      </w:r>
      <w:r w:rsidRPr="00E71313">
        <w:rPr>
          <w:rFonts w:ascii="Times New Roman" w:eastAsia="標楷體" w:hAnsi="Times New Roman" w:cs="Times New Roman"/>
          <w:sz w:val="28"/>
          <w:szCs w:val="24"/>
        </w:rPr>
        <w:t>、國立彰化師範大學</w:t>
      </w:r>
      <w:r w:rsidR="00E7403F">
        <w:rPr>
          <w:rFonts w:ascii="Times New Roman" w:eastAsia="標楷體" w:hAnsi="Times New Roman" w:cs="Times New Roman" w:hint="eastAsia"/>
          <w:sz w:val="28"/>
          <w:szCs w:val="24"/>
        </w:rPr>
        <w:t>、</w:t>
      </w:r>
      <w:r w:rsidR="00E7403F" w:rsidRPr="00E71313">
        <w:rPr>
          <w:rFonts w:ascii="Times New Roman" w:eastAsia="標楷體" w:hAnsi="Times New Roman" w:cs="Times New Roman"/>
          <w:sz w:val="28"/>
          <w:szCs w:val="24"/>
        </w:rPr>
        <w:t>國立虎尾科技大學</w:t>
      </w:r>
      <w:r w:rsidRPr="00E71313">
        <w:rPr>
          <w:rFonts w:ascii="Times New Roman" w:eastAsia="標楷體" w:hAnsi="Times New Roman" w:cs="Times New Roman"/>
          <w:sz w:val="28"/>
          <w:szCs w:val="24"/>
        </w:rPr>
        <w:t>、國立雲林科技大學、國立高雄大學</w:t>
      </w:r>
      <w:r w:rsidR="00E7403F">
        <w:rPr>
          <w:rFonts w:ascii="Times New Roman" w:eastAsia="標楷體" w:hAnsi="Times New Roman" w:cs="Times New Roman" w:hint="eastAsia"/>
          <w:sz w:val="28"/>
          <w:szCs w:val="24"/>
        </w:rPr>
        <w:t>、國立金門大學、國立東華大學、臺北市立大學、國立宜蘭大學</w:t>
      </w:r>
      <w:r w:rsidRPr="00E71313">
        <w:rPr>
          <w:rFonts w:ascii="Times New Roman" w:eastAsia="標楷體" w:hAnsi="Times New Roman" w:cs="Times New Roman"/>
          <w:sz w:val="28"/>
          <w:szCs w:val="24"/>
        </w:rPr>
        <w:t>。</w:t>
      </w:r>
    </w:p>
    <w:p w14:paraId="5824C53B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二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跨校選課措施：</w:t>
      </w:r>
    </w:p>
    <w:p w14:paraId="15AF5B00" w14:textId="355D3FAE" w:rsidR="00322F12" w:rsidRPr="00E71313" w:rsidRDefault="00322F12" w:rsidP="00322F12">
      <w:pPr>
        <w:spacing w:line="480" w:lineRule="exact"/>
        <w:ind w:left="709" w:hanging="1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學士班學生至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系統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內</w:t>
      </w:r>
      <w:r w:rsidRPr="00E71313">
        <w:rPr>
          <w:rFonts w:ascii="Times New Roman" w:eastAsia="標楷體" w:hAnsi="Times New Roman" w:cs="Times New Roman"/>
          <w:sz w:val="28"/>
          <w:szCs w:val="24"/>
        </w:rPr>
        <w:t>學校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修課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含修習跨校雙主修與跨校輔系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課程，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每學期二門課免繳開課學校學分費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，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惟不含進修學士班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在職專班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教育學程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暑期課程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暑修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重修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延修及研究所課程之學分</w:t>
      </w:r>
      <w:r w:rsidRPr="00E71313">
        <w:rPr>
          <w:rFonts w:ascii="Times New Roman" w:eastAsia="標楷體" w:hAnsi="Times New Roman" w:cs="Times New Roman"/>
          <w:sz w:val="28"/>
          <w:szCs w:val="24"/>
        </w:rPr>
        <w:t>。</w:t>
      </w:r>
    </w:p>
    <w:p w14:paraId="548C89E3" w14:textId="77777777" w:rsidR="00C8151A" w:rsidRPr="00E71313" w:rsidRDefault="00C8151A" w:rsidP="00AD0E74">
      <w:pPr>
        <w:spacing w:line="480" w:lineRule="exact"/>
        <w:ind w:left="709" w:hanging="1"/>
        <w:jc w:val="both"/>
        <w:rPr>
          <w:rFonts w:ascii="Times New Roman" w:eastAsia="標楷體" w:hAnsi="Times New Roman" w:cs="Times New Roman"/>
          <w:b/>
        </w:rPr>
      </w:pPr>
    </w:p>
    <w:sectPr w:rsidR="00C8151A" w:rsidRPr="00E71313" w:rsidSect="0056073F">
      <w:pgSz w:w="11906" w:h="16838"/>
      <w:pgMar w:top="1135" w:right="1247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4F851" w14:textId="77777777" w:rsidR="00375F95" w:rsidRDefault="00375F95" w:rsidP="00C8151A">
      <w:r>
        <w:separator/>
      </w:r>
    </w:p>
  </w:endnote>
  <w:endnote w:type="continuationSeparator" w:id="0">
    <w:p w14:paraId="7BD5101E" w14:textId="77777777" w:rsidR="00375F95" w:rsidRDefault="00375F95" w:rsidP="00C81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86D08" w14:textId="77777777" w:rsidR="00375F95" w:rsidRDefault="00375F95" w:rsidP="00C8151A">
      <w:r>
        <w:separator/>
      </w:r>
    </w:p>
  </w:footnote>
  <w:footnote w:type="continuationSeparator" w:id="0">
    <w:p w14:paraId="02BFC468" w14:textId="77777777" w:rsidR="00375F95" w:rsidRDefault="00375F95" w:rsidP="00C81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F773B"/>
    <w:multiLevelType w:val="hybridMultilevel"/>
    <w:tmpl w:val="69E292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C83594"/>
    <w:multiLevelType w:val="hybridMultilevel"/>
    <w:tmpl w:val="5E52FCCC"/>
    <w:lvl w:ilvl="0" w:tplc="CB283BC8">
      <w:start w:val="1"/>
      <w:numFmt w:val="decimal"/>
      <w:lvlText w:val="%1、"/>
      <w:lvlJc w:val="left"/>
      <w:pPr>
        <w:ind w:left="392" w:hanging="360"/>
      </w:pPr>
      <w:rPr>
        <w:rFonts w:hint="default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0E30A6"/>
    <w:multiLevelType w:val="hybridMultilevel"/>
    <w:tmpl w:val="FB9650E8"/>
    <w:lvl w:ilvl="0" w:tplc="2A1E45FA">
      <w:start w:val="1"/>
      <w:numFmt w:val="decimal"/>
      <w:lvlText w:val="%1、"/>
      <w:lvlJc w:val="left"/>
      <w:pPr>
        <w:ind w:left="752" w:hanging="72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064EBA"/>
    <w:multiLevelType w:val="hybridMultilevel"/>
    <w:tmpl w:val="127EF046"/>
    <w:lvl w:ilvl="0" w:tplc="7A36003C">
      <w:start w:val="1"/>
      <w:numFmt w:val="decimal"/>
      <w:lvlText w:val="%1、"/>
      <w:lvlJc w:val="left"/>
      <w:pPr>
        <w:ind w:left="720" w:hanging="72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6974DE"/>
    <w:multiLevelType w:val="hybridMultilevel"/>
    <w:tmpl w:val="88F23F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0E2237"/>
    <w:multiLevelType w:val="hybridMultilevel"/>
    <w:tmpl w:val="B34A9966"/>
    <w:lvl w:ilvl="0" w:tplc="0409000F">
      <w:start w:val="1"/>
      <w:numFmt w:val="decimal"/>
      <w:lvlText w:val="%1."/>
      <w:lvlJc w:val="left"/>
      <w:pPr>
        <w:ind w:left="5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6" w15:restartNumberingAfterBreak="0">
    <w:nsid w:val="479A1913"/>
    <w:multiLevelType w:val="hybridMultilevel"/>
    <w:tmpl w:val="5FFA80C4"/>
    <w:lvl w:ilvl="0" w:tplc="B96C06FC">
      <w:start w:val="1"/>
      <w:numFmt w:val="decimal"/>
      <w:lvlText w:val="%1、"/>
      <w:lvlJc w:val="left"/>
      <w:pPr>
        <w:ind w:left="360" w:hanging="36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3F764A"/>
    <w:multiLevelType w:val="hybridMultilevel"/>
    <w:tmpl w:val="75829924"/>
    <w:lvl w:ilvl="0" w:tplc="B96C06FC">
      <w:start w:val="1"/>
      <w:numFmt w:val="decimal"/>
      <w:lvlText w:val="%1、"/>
      <w:lvlJc w:val="left"/>
      <w:pPr>
        <w:ind w:left="392" w:hanging="36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abstractNum w:abstractNumId="8" w15:restartNumberingAfterBreak="0">
    <w:nsid w:val="4C2B40BA"/>
    <w:multiLevelType w:val="hybridMultilevel"/>
    <w:tmpl w:val="D8445F60"/>
    <w:lvl w:ilvl="0" w:tplc="CB283BC8">
      <w:start w:val="1"/>
      <w:numFmt w:val="decimal"/>
      <w:lvlText w:val="%1、"/>
      <w:lvlJc w:val="left"/>
      <w:pPr>
        <w:ind w:left="392" w:hanging="360"/>
      </w:pPr>
      <w:rPr>
        <w:rFonts w:hint="default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abstractNum w:abstractNumId="9" w15:restartNumberingAfterBreak="0">
    <w:nsid w:val="61973232"/>
    <w:multiLevelType w:val="hybridMultilevel"/>
    <w:tmpl w:val="DC7E9224"/>
    <w:lvl w:ilvl="0" w:tplc="2A1E45FA">
      <w:start w:val="1"/>
      <w:numFmt w:val="decimal"/>
      <w:lvlText w:val="%1、"/>
      <w:lvlJc w:val="left"/>
      <w:pPr>
        <w:ind w:left="1085" w:hanging="72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1293" w:hanging="480"/>
      </w:pPr>
    </w:lvl>
    <w:lvl w:ilvl="2" w:tplc="0409001B" w:tentative="1">
      <w:start w:val="1"/>
      <w:numFmt w:val="lowerRoman"/>
      <w:lvlText w:val="%3."/>
      <w:lvlJc w:val="right"/>
      <w:pPr>
        <w:ind w:left="1773" w:hanging="480"/>
      </w:pPr>
    </w:lvl>
    <w:lvl w:ilvl="3" w:tplc="0409000F" w:tentative="1">
      <w:start w:val="1"/>
      <w:numFmt w:val="decimal"/>
      <w:lvlText w:val="%4."/>
      <w:lvlJc w:val="left"/>
      <w:pPr>
        <w:ind w:left="2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3" w:hanging="480"/>
      </w:pPr>
    </w:lvl>
    <w:lvl w:ilvl="5" w:tplc="0409001B" w:tentative="1">
      <w:start w:val="1"/>
      <w:numFmt w:val="lowerRoman"/>
      <w:lvlText w:val="%6."/>
      <w:lvlJc w:val="right"/>
      <w:pPr>
        <w:ind w:left="3213" w:hanging="480"/>
      </w:pPr>
    </w:lvl>
    <w:lvl w:ilvl="6" w:tplc="0409000F" w:tentative="1">
      <w:start w:val="1"/>
      <w:numFmt w:val="decimal"/>
      <w:lvlText w:val="%7."/>
      <w:lvlJc w:val="left"/>
      <w:pPr>
        <w:ind w:left="3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3" w:hanging="480"/>
      </w:pPr>
    </w:lvl>
    <w:lvl w:ilvl="8" w:tplc="0409001B" w:tentative="1">
      <w:start w:val="1"/>
      <w:numFmt w:val="lowerRoman"/>
      <w:lvlText w:val="%9."/>
      <w:lvlJc w:val="right"/>
      <w:pPr>
        <w:ind w:left="4653" w:hanging="480"/>
      </w:pPr>
    </w:lvl>
  </w:abstractNum>
  <w:abstractNum w:abstractNumId="10" w15:restartNumberingAfterBreak="0">
    <w:nsid w:val="6631424D"/>
    <w:multiLevelType w:val="hybridMultilevel"/>
    <w:tmpl w:val="F1DC1F50"/>
    <w:lvl w:ilvl="0" w:tplc="74B0F5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E895C1E"/>
    <w:multiLevelType w:val="hybridMultilevel"/>
    <w:tmpl w:val="77300B4E"/>
    <w:lvl w:ilvl="0" w:tplc="2A1E45FA">
      <w:start w:val="1"/>
      <w:numFmt w:val="decimal"/>
      <w:lvlText w:val="%1、"/>
      <w:lvlJc w:val="left"/>
      <w:pPr>
        <w:ind w:left="752" w:hanging="720"/>
      </w:pPr>
      <w:rPr>
        <w:rFonts w:hint="default"/>
        <w:b w:val="0"/>
        <w:color w:val="000065"/>
      </w:rPr>
    </w:lvl>
    <w:lvl w:ilvl="1" w:tplc="019ADEDE">
      <w:start w:val="1"/>
      <w:numFmt w:val="taiwaneseCountingThousand"/>
      <w:lvlText w:val="%2、"/>
      <w:lvlJc w:val="left"/>
      <w:pPr>
        <w:ind w:left="123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num w:numId="1" w16cid:durableId="1808817968">
    <w:abstractNumId w:val="10"/>
  </w:num>
  <w:num w:numId="2" w16cid:durableId="531461782">
    <w:abstractNumId w:val="5"/>
  </w:num>
  <w:num w:numId="3" w16cid:durableId="1354652414">
    <w:abstractNumId w:val="4"/>
  </w:num>
  <w:num w:numId="4" w16cid:durableId="328485187">
    <w:abstractNumId w:val="8"/>
  </w:num>
  <w:num w:numId="5" w16cid:durableId="302851760">
    <w:abstractNumId w:val="1"/>
  </w:num>
  <w:num w:numId="6" w16cid:durableId="31467709">
    <w:abstractNumId w:val="6"/>
  </w:num>
  <w:num w:numId="7" w16cid:durableId="1890024577">
    <w:abstractNumId w:val="7"/>
  </w:num>
  <w:num w:numId="8" w16cid:durableId="1197742749">
    <w:abstractNumId w:val="11"/>
  </w:num>
  <w:num w:numId="9" w16cid:durableId="2139302470">
    <w:abstractNumId w:val="0"/>
  </w:num>
  <w:num w:numId="10" w16cid:durableId="708072014">
    <w:abstractNumId w:val="9"/>
  </w:num>
  <w:num w:numId="11" w16cid:durableId="1487823463">
    <w:abstractNumId w:val="2"/>
  </w:num>
  <w:num w:numId="12" w16cid:durableId="1245645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HK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FC3"/>
    <w:rsid w:val="000035F8"/>
    <w:rsid w:val="00054D6A"/>
    <w:rsid w:val="000C4D9C"/>
    <w:rsid w:val="00160C87"/>
    <w:rsid w:val="001C3A2D"/>
    <w:rsid w:val="001F3B36"/>
    <w:rsid w:val="00201399"/>
    <w:rsid w:val="00211BAB"/>
    <w:rsid w:val="002143D0"/>
    <w:rsid w:val="00233569"/>
    <w:rsid w:val="00276CB2"/>
    <w:rsid w:val="002B6404"/>
    <w:rsid w:val="00322F12"/>
    <w:rsid w:val="00375F95"/>
    <w:rsid w:val="00382B74"/>
    <w:rsid w:val="00393AE8"/>
    <w:rsid w:val="003A546F"/>
    <w:rsid w:val="003C2599"/>
    <w:rsid w:val="004B6E16"/>
    <w:rsid w:val="004C7E40"/>
    <w:rsid w:val="004E33D3"/>
    <w:rsid w:val="0054683B"/>
    <w:rsid w:val="0056073F"/>
    <w:rsid w:val="005A3065"/>
    <w:rsid w:val="005C27E8"/>
    <w:rsid w:val="00635235"/>
    <w:rsid w:val="00644506"/>
    <w:rsid w:val="00655B54"/>
    <w:rsid w:val="006E7001"/>
    <w:rsid w:val="006F5B21"/>
    <w:rsid w:val="006F6D15"/>
    <w:rsid w:val="006F78C0"/>
    <w:rsid w:val="00713CE0"/>
    <w:rsid w:val="00746FD0"/>
    <w:rsid w:val="0077209F"/>
    <w:rsid w:val="007A5BFF"/>
    <w:rsid w:val="007B071D"/>
    <w:rsid w:val="007E1051"/>
    <w:rsid w:val="007F1F0E"/>
    <w:rsid w:val="0080126E"/>
    <w:rsid w:val="008020F8"/>
    <w:rsid w:val="008119D1"/>
    <w:rsid w:val="00896FC3"/>
    <w:rsid w:val="008E4CD9"/>
    <w:rsid w:val="0090361F"/>
    <w:rsid w:val="009946F2"/>
    <w:rsid w:val="009A17D1"/>
    <w:rsid w:val="00A43F79"/>
    <w:rsid w:val="00AC66A5"/>
    <w:rsid w:val="00AD0E74"/>
    <w:rsid w:val="00AF0721"/>
    <w:rsid w:val="00AF60AE"/>
    <w:rsid w:val="00B92CB6"/>
    <w:rsid w:val="00BC2528"/>
    <w:rsid w:val="00C0714C"/>
    <w:rsid w:val="00C20BE8"/>
    <w:rsid w:val="00C2516B"/>
    <w:rsid w:val="00C70A46"/>
    <w:rsid w:val="00C8151A"/>
    <w:rsid w:val="00C93F53"/>
    <w:rsid w:val="00CA4E8A"/>
    <w:rsid w:val="00CF5CFF"/>
    <w:rsid w:val="00D053AB"/>
    <w:rsid w:val="00D8022A"/>
    <w:rsid w:val="00D9534E"/>
    <w:rsid w:val="00DB0FFB"/>
    <w:rsid w:val="00E608E0"/>
    <w:rsid w:val="00E71313"/>
    <w:rsid w:val="00E7403F"/>
    <w:rsid w:val="00E914FD"/>
    <w:rsid w:val="00F51506"/>
    <w:rsid w:val="00FD6C61"/>
    <w:rsid w:val="00FF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319D99"/>
  <w15:chartTrackingRefBased/>
  <w15:docId w15:val="{2089CD1D-B2AE-44F9-9350-38ECFE2A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FC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713C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13CE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1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151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81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151A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C8151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C8151A"/>
    <w:pPr>
      <w:autoSpaceDE w:val="0"/>
      <w:autoSpaceDN w:val="0"/>
    </w:pPr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ab">
    <w:name w:val="本文 字元"/>
    <w:basedOn w:val="a0"/>
    <w:link w:val="aa"/>
    <w:uiPriority w:val="1"/>
    <w:rsid w:val="00C8151A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paragraph" w:customStyle="1" w:styleId="TableParagraph">
    <w:name w:val="Table Paragraph"/>
    <w:basedOn w:val="a"/>
    <w:uiPriority w:val="1"/>
    <w:qFormat/>
    <w:rsid w:val="00C8151A"/>
    <w:pPr>
      <w:autoSpaceDE w:val="0"/>
      <w:autoSpaceDN w:val="0"/>
    </w:pPr>
    <w:rPr>
      <w:rFonts w:ascii="新細明體" w:eastAsia="新細明體" w:hAnsi="新細明體" w:cs="新細明體"/>
      <w:kern w:val="0"/>
      <w:sz w:val="22"/>
      <w:lang w:eastAsia="en-US"/>
    </w:rPr>
  </w:style>
  <w:style w:type="character" w:styleId="ac">
    <w:name w:val="Hyperlink"/>
    <w:basedOn w:val="a0"/>
    <w:uiPriority w:val="99"/>
    <w:unhideWhenUsed/>
    <w:rsid w:val="00322F12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22F1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6F5B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st.edu.tw/resource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B3495-9ED9-4D66-AF05-FD9D5DDF9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david 買</cp:lastModifiedBy>
  <cp:revision>2</cp:revision>
  <cp:lastPrinted>2023-06-19T02:16:00Z</cp:lastPrinted>
  <dcterms:created xsi:type="dcterms:W3CDTF">2026-07-27T04:11:00Z</dcterms:created>
  <dcterms:modified xsi:type="dcterms:W3CDTF">2026-07-27T04:11:00Z</dcterms:modified>
</cp:coreProperties>
</file>